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60 vom 25. Juni 2024</w:t>
      </w:r>
    </w:p>
    <w:p>
      <w:r>
        <w:t>VS Kantonsgericht, 2024-06-25, FR</w:t>
      </w:r>
    </w:p>
    <w:p>
      <w:r>
        <w:rPr>
          <w:b/>
        </w:rPr>
        <w:t xml:space="preserve">Quelle: </w:t>
      </w:r>
      <w:r>
        <w:t>https://mcp.opencaselaw.ch/entscheid/vs_gerichte_S1 22 60</w:t>
      </w:r>
    </w:p>
    <w:p>
      <w:r>
        <w:t>FR: VS_GERICHTE S1 22 60 du 25 juin 2024</w:t>
      </w:r>
    </w:p>
    <w:p>
      <w:r>
        <w:t>IT: VS_GERICHTE S1 22 60 del 25 giugno 2024</w:t>
      </w:r>
    </w:p>
    <w:p>
      <w:pPr>
        <w:pStyle w:val="Heading2"/>
      </w:pPr>
      <w:r>
        <w:t>Regeste</w:t>
      </w:r>
    </w:p>
    <w:p>
      <w:r>
        <w:t>S1 22 60 ARRÊT DU 25 JUIN 2024 Tribunal cantonal du Valais Cour des assurances sociales Composition : Candido Prada, président ; Jean-Bernard Fournier et Christophe Joris, juges ; Véronique Largey, greffière en la cause X _________, recourant, représenté par Maître Gilles Pistoletti, avocat, Sion contre OFFICE CANTONAL AI DU VALAIS, intimé (art. 25 al. 1 et art. 31 al. 1 LPGA, art. 77 RAI ; remise de l’obligation de restituer des prestations indues, bonne foi, violation du devoir d’annonce, négligence grave)</w:t>
      </w:r>
    </w:p>
    <w:p>
      <w:pPr>
        <w:pStyle w:val="Heading2"/>
      </w:pPr>
      <w:r>
        <w:t>Erwägungen</w:t>
      </w:r>
    </w:p>
    <w:p>
      <w:r>
        <w:rPr>
          <w:b/>
        </w:rPr>
        <w:t>E. 31</w:t>
      </w:r>
    </w:p>
    <w:p>
      <w:r>
        <w:t>al. 1 LPGA) sera puni d’une peine pécuniaire de 180 jours-amende au plus, à moins qu’il ne s’agisse d’un crime ou d’un délit frappé d’une peine plus lourde (art. 87 LAVS). A teneur de l’article 28 alinéa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selon l’article 6 LPGA d’au moins 40 % en moyenne durant une année sans interruption notable (let. b) ; au terme de cette année, il est invalide au sens de l’article 8 LPGA à 40 % au moins (let. c). Sous l’empire de l’article 47 alinéa 1 aLAVS, la jurisprudence avait précisé que la condition de la bonne foi n’était pas déjà réalisée du fait de l’ignorance du vice juridique. Il fallait en outre que la personne concernée ne se fût rendue coupable ni d’une intention malveillante ni d’une négligence grave, ce qui impliquait qu’elle n’eût pas violé d’une manière grave ses obligations d’annoncer et d’informer. Cette jurisprudence reste valable sous l’article 25 alinéa 1 LPGA. Comme le Tribunal fédéral l’a rappelé, l’ignorance par le bénéficiaire des prestations du fait qu’il n’avait pas droit à celles-ci ne suffit pas pour admettre sa bonne foi. Il faut bien plutôt que le</w:t>
      </w:r>
    </w:p>
    <w:p>
      <w:r>
        <w:t>- 11 - requérant ne se soit rendu coupable, non seulement d’aucune intention malicieuse, mais aussi d’aucune négligence grave. Il y a négligence grave lorsqu’un ayant droit ne se conforme pas à ce qui peut raisonnablement être exigé d’une personne capable de discernement dans une situation identique et dans les mêmes circonstances. L’examen de l’attention exigible d’un ayant droit qui invoque sa bonne foi relève du droit et le Tribunal fédéral revoit librement cette question. Il s’ensuit que la bonne foi, en tant que condition de la remise, est exclue d’emblée lorsque les faits qui conduisent à l’obligation de restituer sont imputables à un comportement dolosif ou à une négligence grave. En revanche, le bénéficiaire peut invoquer sa bonne foi lorsque l’acte ou l’omission fautifs ne constitue qu’une simple ou légère négligence. Une violation légère de l’obligation de diligence et d’attention n’exclut ainsi pas la bonne foi. La mesure de l’attention nécessaire qui peut être exigée doit être jugée selon des critères objectifs, où l’on ne peut occulter ce qui est possible et raisonnable dans la subjectivité de la personne concernée (faculté de jugement, état de santé, niveau de formation, etc…). On ajoutera que la bonne foi doit être niée quand l’enrichi pouvait, au moment du versement, s’attendre à son obligation de restituer, parce qu’il savait ou devait savoir, en faisant preuve de l’attention requise, que la prestation était indue (ATF 130 V 414 consid. 4.3). En cas de violation du devoir d’annoncer ou d’informer au sens des articles 28 et 31 LPGA, il ressort également de la jurisprudence que la condition de la bonne foi n’est d’emblée pas remplie si elle est due à un comportement fautif ou une négligence grave. Au contraire, l’assuré peut s’en prévaloir lorsque son action ou son omission fautives ne représente qu’une violation légère du devoir d’annoncer ou d’informer (ATF 138 V 218 consid. 4, 112 V 97 consid. 2c et 110 V 176 consid. 3c, arrêts du Tribunal fédéral 9C_588/2019 du 14 février 2020 consid. 3.1 in SVR 2020 EL Nr. 8, 8C_458/2019 du 24 septembre 2019 consid. 4.1 in SVR 2020 IV Nr. 12, 9C_175/2019 et 9C_176/2019 du 6 mai 2019 consid. 2.1 in SVR 2019 AHV Nr. 17, 8C_353/2018 du 26 juillet 2018 consid. 3.1 in SVR 2019 AHV Nr. 17, 8C_704/2016 du 29 mai 2017 consid. 3 et 9C_319/2013 du 27 octobre 2013 consid. 2.2 ; PÉTREMAND, Loi sur la partie générale des assurances sociales, in Commentaire romand, 2018, n° 63 à 70 ad art. 25 LPGA, p. 375 et 376). Les éléments retenus par le Tribunal fédéral aux considérants 4.2.2 et 5.3 de l’arrêt 9C_245/2012 du 29 octobre 2012 peuvent être résumés comme suit. La modification du revenu constitue une information décisive soumise à l'obligation de communiquer selon les articles 31 alinéa 1 LPGA et 77 RAI. Cette obligation existe indépendamment de l’examen par l’assurance-invalidité d'une question concrète relative au gain de la personne assurée, soit indépendamment des révisions (périodiques) des prestations allouées. Au contraire, celle-ci est tenue de communiquer spontanément à l'assureur,</w:t>
      </w:r>
    </w:p>
    <w:p>
      <w:r>
        <w:t>- 12 - sans délai et de manière suffisamment précise toutes les modifications importantes dont elle a connaissance. Etant donné que la rente d'invalidité constitue une prestation durable, l'administration est tributaire de la communication d'éventuels changements dans la situation professionnelle de la personne assurée. Certes, un employé peut partir du principe que l'employeur agit conformément à ses obligations, prévues à l’article 14 LAVS, d’annoncer le salaire à la caisse de compensation et de verser les cotisations d'assurances sociales y afférentes. Cela ne le dispense toutefois pas de l'obligation de déclarer qui lui incombe personnellement en vertu de l'article 77 RAI. Il ne peut ainsi être déduit que des faits connus de la caisse de compensation le soient aussi de l'office AI. D’autre part, les autorités fiscales ne sont pas concernées par la question du droit à la rente, raison pour laquelle les indications figurant sur la déclaration d'impôt ne suffisent pas non plus pour remplir cette obligation. 2.2 En l’occurrence, les arguments invoqués par le recourant dans ses différentes écritures administratives et judiciaires à l’appui de sa bonne foi ne sauraient être suivis. En date du 17 mai 2022, l’intimé a relevé avec pertinence que, dans ses décisions d’octroi d’une rente entière d’invalidité des 10 avril et 2 mai 2014, il avait bien retenu une capacité de travail et de gain nulle et un taux d’invalidité de 100%. Même si, conformément à la jurisprudence applicable à l’évaluation de l’invalidité de personnes d’un âge avancé (voir à cet égard l’ATF 138 V 457 consid. 3.1), cette conclusion était motivée par d’autres éléments que les limitations physiques, soit par les difficultés à retrouver un emploi adapté dues au long engagement dans le même domaine d’activité et à la capacité restreinte d’adaptation à un nouveau poste de travail, ainsi que par le peu de temps restant avant l’âge ordinaire de la retraite (pièces 49 et 50), l’Office AI n’a pas renoncé à l’exigence d’une perte de gain ni à la restitution de la rente allouée dans le cas où dite exigence n’était plus remplie. Par courrier du 18 juin 2018, l’assuré a indiqué à l’Office AI que son état de santé ne s’était pas amélioré depuis mai 2013, si bien qu’il n’avait pas de renseignements complémentaires à fournir à cet office (pièce 60, pages 187 et 188). Etaient annexés à cette lettre des certificats d’arrêt de travail du 22 février au 13 mai 2018 et des prescriptions de séances de physiothérapie pour des troubles de l’épaule gauche entraînés par un ancien accident, ainsi que pour des contusions des deux genoux, une périarthrite scapulo-humérale droite et des douleurs lombaires consécutives à un accident récent (pièce 59). A suivre les explications fournies le 28 février 2019 par le recourant en la cause S1 19 54, les atteintes à la santé ayant conduit l’intimé à lui octroyer des prestations existaient toujours. Il avait cru, à tort, que l’assurance-invalidité</w:t>
      </w:r>
    </w:p>
    <w:p>
      <w:r>
        <w:t>- 13 - servait à indemniser une atteinte à l’intégrité et non à couvrir une perte de gain. De telles remarques n’apparaissent pourtant pas conformes à la réalité. En effet, selon la demande de prestations AI du 15 janvier 2013 et le rapport médical du 21 janvier suivant, les atteintes à la santé à l’origine d’une incapacité de travail durable depuis le 7 mai 2012 puis d’une invalidité totale dès le 7 mai 2013 correspondaient à une scapulalgie droite, ainsi qu’à des cervicalgies et des dorso-lombalgies chroniques (pièces 12 et 17). Celles rapportées le 18 juin 2018 consistaient par contre en des troubles post-traumatiques de l’épaule gauche, de même qu’en des contusions des deux genoux, une périarthrite scapulo-humérale droite et des douleurs lombaires consécutives à un accident récent, ces affections n’ayant semble-t-il justifié qu’un traitement de physiothérapie et un arrêt de travail de moins de trois mois (pièces 59 et 60, pages 187 et 188 et 194 à 199). Aux termes d’autres allégations du recourant, celui-ci avait informé l’intimé, en date du 15 février 2014, de l’exercice d’une activité lucrative à 20% (pièce 42). Fort de ce renseignement, l’Office AI aurait donc pu se rendre compte plus tôt de la situation de l’assuré et, comme d’ailleurs souligné dans l’ordonnance pénale du 26 mars 2020, s’enquérir auprès de la Caisse du salaire perçu pour cette activité (pièce 98). D’origine étrangère, le recourant ne comprenait pas bien comment fonctionnait le système de sécurité sociale suisse. Il n’avait jamais eu conscience de devoir communiquer spécifiquement à l’Office AI des informations connues tant de l’autorité fiscale que de la Caisse. Dans sa décision du 18 octobre 2018 et sa réponse du 17 mai 2022, cet office a toutefois invoqué à juste titre qu’un taux d’activité de 20% ne remettait pas en cause le droit à une rente entière d’invalidité (pièce 64). Il a en outre exposé les compétences différentes d’un office d’assurance-invalidité et d’une caisse de compensation en matière de rentes d’invalidité. A cet égard, il a souligné que l’accès de la Caisse aux données relatives aux revenus ne dispensait pas l’assuré de son obligation d’annoncer à l’Office AI, notamment chargé de l’examen des conditions du droit à la rente, toute modification déterminante pour ce droit. Un tel raisonnement ressort effectivement de l’arrêt précité 9C_245/2012 et s’applique mutatis mutandis aux faits connus de l’autorité fiscale. Toujours selon l’argumentation pertinente de l’intimé, les décisions d’octroi de la rente entière d’invalidité des 10 avril et 2 mai 2014 avaient rendu l’assuré attentif à cette obligation (pièces 49 et 50), qui découlait des articles 77 RAI et 31 alinéa 1 LPGA et concernait notamment tout changement du salaire. Or, par ordonnance pénale du 26 mars 2020, demeurée d’ailleurs incontestée, l’assuré avait été reconnu coupable de violation de cette obligation selon l’article 87 LAVS, applicable par renvoi de l’article 70 LAI (pièce 98).</w:t>
      </w:r>
    </w:p>
    <w:p>
      <w:r>
        <w:t>- 14 - Contrairement à ce que l’intimé a mentionné dans sa décision du 18 octobre 2018 et sa réponse du 17 mai 2022, la violation du devoir d’annonce prévu par les articles 77 RAI et 31 alinéa 1 LPGA ne constitue pas de facto une négligence grave excluant la bonne foi, au sens de la jurisprudence topique. Il se peut que la personne assurée n’ait contrevenu que légèrement à son obligation de communiquer et qu’elle puisse se prévaloir de sa bonne foi. Il n’en est toutefois rien en l’espèce. Les faits établis dans l’ordonnance pénale susmentionnée permettent de retenir que c’est de manière gravement négligente que le recourant n’a pas déféré à cette obligation. En effet, au vu de la teneur claire des décisions des 10 avril et 2 mai 2014 concernant l’absence de toute capacité de travail et de gain et l’obligation d’annoncer immédiatement toute modification de la situation personnelle ou économique, l’assuré savait pertinemment que l’exercice d’une activité à un taux bien supérieur à celui de 20%, tel que mentionné dans son courrier du 15 février 2014 (pièce 42), pouvait conduire à la réduction, voire à la suppression de la rente perçue et qu’il se devait d’en informer l’Office AI (pièce 98). En d’autres termes et comme souligné par cet office dans sa décision du 18 octobre 2018, le recourant ne pouvait ignorer qu’en réalisant, après la reconnaissance d’un taux d’invalidité de 100% et l’allocation d’une rente entière d’invalidité dès le 1er mai 2013 par les décisions des 10 avril et 2 mai 2014 (pièces 49 et 50), des revenus tout aussi voire plus élevés qu’avant le 1er mai 2013, hormis en 2014 (selon l’extrait de compte individuel AVS sous pièce 54 : 71'203 fr. en 2009 et 2010, 75'067 fr. en 2011, 74'776 fr. en 2012, 73'258 fr. en 2013, 61'030 fr. en 2014, 74'507 fr. en 2015, 79'824 fr. en 2016 et 79'498 fr. en 2017), le taux d’invalidité après 2013 était en réalité de 0%, sauf en 2014 où il correspondait à 14.28% mais ne donnait de toute manière pas droit à une rente d’invalidité (pièce 64). Dans ces circonstances, l’assuré n’était pas de bonne foi lorsqu’il a perçu cette rente entière d’invalidité du 1er mai 2013 au 28 février 2017. Au bas de la page 8 de son mémoire du 22 mars 2022, le recourant a d’ailleurs reconnu qu’il ne pouvait pas toucher une rente d’invalidité et un salaire en même temps. Il ne saurait ainsi être suivi lorsqu’il a prétendu, dans son recours du 28 février 2019 interjeté en la cause S1 19 54, qu’il n’avait pas eu conscience que les revenus d’une activité complémentaire devaient être imputés sur les prestations servies (pièce 79, pages 235 à 242). Enfin, si l’assuré est d’origine étrangère, il est arrivé en Suisse en 1985 et en a acquis la nationalité le 11 mai 2009 (pièce 12). Il est donc censé connaître le système de sécurité sociale suisse dans ses grandes lignes. Il ne pouvait en particulier ignorer que l’assurance-chômage verse des indemnités en remplacement d’un salaire qui ne peut plus être réalisé pour cause de perte, totale ou partielle, d’un emploi. L’assuré a pourtant requis l’octroi d’indemnités de chômage de 50% à partir du 6 décembre 2012 (pièce 112,</w:t>
      </w:r>
    </w:p>
    <w:p>
      <w:r>
        <w:t>- 15 - pages 460 à 463), alors qu’il avait perçu cette année-là un revenu de 74'776 fr. quasiment similaire à celui de 75'067 fr. touché en 2011 et que son revenu pour l’année 2013 se montait encore à 73'258 fr. (pièce 54). D’après le courriel envoyé le 10 mars 2022 à l’Office AI par le SICT, le remboursement de ces indemnités a aussi été exigé de l’assuré (pièce 103). Dans ces circonstances, la bonne foi dont le recourant s’est prévalu à cette époque-là apparaît encore plus douteuse. La condition de la bonne foi posée par l’article 25 alinéa 1 LPGA pour la remise de l’obligation de restituer des prestations versées à tort n’étant pas remplie en l’espèce, point n’est besoin d’examiner l’autre condition cumulative de la situation financière difficile. Au vu toutefois de revenus d’un total de 89'169 fr. figurant sur le procès-verbal de taxation de l’année 2020 produit par le recourant sous pièce 9, cette seconde condition ne semble pas non plus remplie. Quant au montant à restituer de 76'490 fr. ressortant de la décision du 28 janvier 2019 (pièce 71), il n’a pas été contesté par le recourant. En conséquence, la demande de remise de l’obligation de l’assuré de rembourser ce montant à l’Office AI, déposée le 28 février 2019 (pièce 72), doit être refusée. Au vu de ce qui précède et en application du principe d’appréciation anticipée des preuves (sur cette notion, voir notamment l’ATF 145 I 167 consid. 4.1 et les arrêts du Tribunal fédéral 8C_172/2012 du 14 mars 2013 consid. 3 et les références, 9C_962/2010 du 1er septembre 2011 consid. 4.1 et 9C_966/2010 du 29 avril 2011 consid. 2.2), la requête probatoire relative à l’interrogatoire du recourant se révèle inutile. Elle est dès lors rejetée. Partant, le recours est rejeté et la décision du 17 février 2022 confirmée. 3.1 Le présent litige portant sur la remise de l’obligation de restituer des prestations indues et non sur l’octroi ou le refus de prestations au sens de l’article 69 alinéa 1bis LAI, il n’est pas perçu de frais (arrêt du Tribunal fédéral 9C_639/2011 du 30 août 2012 consid. 3.2). 3.2 Etant donné l’issue du litige, il n’est alloué de dépens ni au recourant (art. 61 let. g LPGA a contrario) ni à l’intimé (art. 91 al. 3 LPJA).</w:t>
      </w:r>
    </w:p>
    <w:p>
      <w:r>
        <w:t>- 16 - Prononce</w:t>
      </w:r>
    </w:p>
    <w:p>
      <w:r>
        <w:t>1. Le recours est rejeté et la décision du 17 février 2022 est confirmée. 2. Il n'est pas perçu de frais ni alloué de dépens.</w:t>
      </w:r>
    </w:p>
    <w:p>
      <w:r>
        <w:t>Sion, le 25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